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02A8F505"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43024F">
        <w:rPr>
          <w:rFonts w:ascii="Arial" w:eastAsia="FreeSans" w:hAnsi="Arial" w:cs="Arial"/>
          <w:kern w:val="2"/>
          <w:sz w:val="22"/>
          <w:lang w:val="de-AT" w:eastAsia="zh-CN" w:bidi="hi-IN"/>
        </w:rPr>
        <w:t>13</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44E9055A" w14:textId="494E185F" w:rsidR="0043024F" w:rsidRPr="0043024F" w:rsidRDefault="0043024F" w:rsidP="0043024F">
      <w:pPr>
        <w:widowControl w:val="0"/>
        <w:suppressAutoHyphens/>
        <w:spacing w:after="0" w:line="240" w:lineRule="auto"/>
        <w:jc w:val="left"/>
        <w:rPr>
          <w:rFonts w:ascii="Arial" w:eastAsia="FreeSans" w:hAnsi="Arial" w:cs="Arial"/>
          <w:b/>
          <w:bCs/>
          <w:kern w:val="2"/>
          <w:sz w:val="22"/>
          <w:lang w:eastAsia="zh-CN" w:bidi="hi-IN"/>
        </w:rPr>
      </w:pPr>
    </w:p>
    <w:p w14:paraId="3A7F1BC5" w14:textId="77777777" w:rsidR="0043024F" w:rsidRPr="0043024F" w:rsidRDefault="0043024F" w:rsidP="0043024F">
      <w:pPr>
        <w:widowControl w:val="0"/>
        <w:suppressAutoHyphens/>
        <w:spacing w:after="0" w:line="240" w:lineRule="auto"/>
        <w:jc w:val="left"/>
        <w:rPr>
          <w:rFonts w:ascii="Arial" w:eastAsia="FreeSans" w:hAnsi="Arial" w:cs="Arial"/>
          <w:b/>
          <w:bCs/>
          <w:kern w:val="2"/>
          <w:sz w:val="22"/>
          <w:lang w:eastAsia="zh-CN" w:bidi="hi-IN"/>
        </w:rPr>
      </w:pPr>
    </w:p>
    <w:p w14:paraId="0AFBBA51" w14:textId="77777777" w:rsidR="0043024F" w:rsidRDefault="0043024F" w:rsidP="0043024F">
      <w:pPr>
        <w:widowControl w:val="0"/>
        <w:suppressAutoHyphens/>
        <w:spacing w:after="0" w:line="240" w:lineRule="auto"/>
        <w:jc w:val="left"/>
        <w:rPr>
          <w:rFonts w:ascii="Arial" w:eastAsia="FreeSans" w:hAnsi="Arial" w:cs="Arial"/>
          <w:b/>
          <w:kern w:val="2"/>
          <w:sz w:val="22"/>
          <w:lang w:eastAsia="zh-CN" w:bidi="hi-IN"/>
        </w:rPr>
      </w:pPr>
      <w:r w:rsidRPr="0043024F">
        <w:rPr>
          <w:rFonts w:ascii="Arial" w:eastAsia="FreeSans" w:hAnsi="Arial" w:cs="Arial"/>
          <w:b/>
          <w:kern w:val="2"/>
          <w:sz w:val="22"/>
          <w:lang w:eastAsia="zh-CN" w:bidi="hi-IN"/>
        </w:rPr>
        <w:t>Gegen die Abschafung von Zuverdienstmöglichkeiten bei Leistungen aus dem AM</w:t>
      </w:r>
      <w:r>
        <w:rPr>
          <w:rFonts w:ascii="Arial" w:eastAsia="FreeSans" w:hAnsi="Arial" w:cs="Arial"/>
          <w:b/>
          <w:kern w:val="2"/>
          <w:sz w:val="22"/>
          <w:lang w:eastAsia="zh-CN" w:bidi="hi-IN"/>
        </w:rPr>
        <w:t>S</w:t>
      </w:r>
    </w:p>
    <w:p w14:paraId="5F71E8CA" w14:textId="77777777" w:rsidR="0043024F" w:rsidRDefault="0043024F" w:rsidP="0043024F">
      <w:pPr>
        <w:widowControl w:val="0"/>
        <w:suppressAutoHyphens/>
        <w:spacing w:after="0" w:line="240" w:lineRule="auto"/>
        <w:jc w:val="left"/>
        <w:rPr>
          <w:rFonts w:ascii="Arial" w:eastAsia="FreeSans" w:hAnsi="Arial" w:cs="Arial"/>
          <w:b/>
          <w:kern w:val="2"/>
          <w:sz w:val="22"/>
          <w:lang w:eastAsia="zh-CN" w:bidi="hi-IN"/>
        </w:rPr>
      </w:pPr>
    </w:p>
    <w:p w14:paraId="2EE2CB9C" w14:textId="76275EEF" w:rsidR="0043024F" w:rsidRPr="0043024F" w:rsidRDefault="0043024F" w:rsidP="0043024F">
      <w:pPr>
        <w:widowControl w:val="0"/>
        <w:suppressAutoHyphens/>
        <w:spacing w:after="0" w:line="240" w:lineRule="auto"/>
        <w:jc w:val="left"/>
        <w:rPr>
          <w:rFonts w:ascii="Arial" w:eastAsia="FreeSans" w:hAnsi="Arial" w:cs="Arial"/>
          <w:bCs/>
          <w:kern w:val="2"/>
          <w:sz w:val="22"/>
          <w:lang w:eastAsia="zh-CN" w:bidi="hi-IN"/>
        </w:rPr>
      </w:pPr>
      <w:r w:rsidRPr="0043024F">
        <w:rPr>
          <w:rFonts w:ascii="Arial" w:eastAsia="FreeSans" w:hAnsi="Arial" w:cs="Arial"/>
          <w:bCs/>
          <w:kern w:val="2"/>
          <w:sz w:val="22"/>
          <w:lang w:eastAsia="zh-CN" w:bidi="hi-IN"/>
        </w:rPr>
        <w:t>Die Regierung kündigt an, die Möglichkeit eines geringfügigen</w:t>
      </w:r>
      <w:r w:rsidRPr="0043024F">
        <w:rPr>
          <w:rFonts w:ascii="Arial" w:eastAsia="FreeSans" w:hAnsi="Arial" w:cs="Arial"/>
          <w:b/>
          <w:bCs/>
          <w:kern w:val="2"/>
          <w:sz w:val="22"/>
          <w:lang w:eastAsia="zh-CN" w:bidi="hi-IN"/>
        </w:rPr>
        <w:t xml:space="preserve"> </w:t>
      </w:r>
      <w:r w:rsidRPr="0043024F">
        <w:rPr>
          <w:rFonts w:ascii="Arial" w:eastAsia="FreeSans" w:hAnsi="Arial" w:cs="Arial"/>
          <w:bCs/>
          <w:kern w:val="2"/>
          <w:sz w:val="22"/>
          <w:lang w:eastAsia="zh-CN" w:bidi="hi-IN"/>
        </w:rPr>
        <w:t>Zuverdienstes bei AMS-Bezug zu streichen. Das bedeutet branchenspezifisch unterschiedliche, vor allem im Niedriglohnbereich</w:t>
      </w:r>
      <w:r w:rsidRPr="0043024F">
        <w:rPr>
          <w:rFonts w:ascii="Arial" w:eastAsia="FreeSans" w:hAnsi="Arial" w:cs="Arial"/>
          <w:b/>
          <w:bCs/>
          <w:kern w:val="2"/>
          <w:sz w:val="22"/>
          <w:lang w:eastAsia="zh-CN" w:bidi="hi-IN"/>
        </w:rPr>
        <w:t xml:space="preserve"> </w:t>
      </w:r>
      <w:r w:rsidRPr="0043024F">
        <w:rPr>
          <w:rFonts w:ascii="Arial" w:eastAsia="FreeSans" w:hAnsi="Arial" w:cs="Arial"/>
          <w:bCs/>
          <w:kern w:val="2"/>
          <w:sz w:val="22"/>
          <w:lang w:eastAsia="zh-CN" w:bidi="hi-IN"/>
        </w:rPr>
        <w:t>katastrophale Einschnitte in die Existenzsicherung. Zuverdienstmöglichkeiten sind oft notwendiger Einkommensbestandteil,</w:t>
      </w:r>
      <w:r w:rsidRPr="0043024F">
        <w:rPr>
          <w:rFonts w:ascii="Arial" w:eastAsia="FreeSans" w:hAnsi="Arial" w:cs="Arial"/>
          <w:b/>
          <w:bCs/>
          <w:kern w:val="2"/>
          <w:sz w:val="22"/>
          <w:lang w:eastAsia="zh-CN" w:bidi="hi-IN"/>
        </w:rPr>
        <w:t xml:space="preserve"> </w:t>
      </w:r>
      <w:r w:rsidRPr="0043024F">
        <w:rPr>
          <w:rFonts w:ascii="Arial" w:eastAsia="FreeSans" w:hAnsi="Arial" w:cs="Arial"/>
          <w:bCs/>
          <w:kern w:val="2"/>
          <w:sz w:val="22"/>
          <w:lang w:eastAsia="zh-CN" w:bidi="hi-IN"/>
        </w:rPr>
        <w:t>Fahrkarte retour in Beschäftigung und in vielen Bereichen mit Beschäftigungsstrukturen jenseits der Normarbeitsverhältnisse schlicht</w:t>
      </w:r>
      <w:r w:rsidRPr="0043024F">
        <w:rPr>
          <w:rFonts w:ascii="Arial" w:eastAsia="FreeSans" w:hAnsi="Arial" w:cs="Arial"/>
          <w:b/>
          <w:bCs/>
          <w:kern w:val="2"/>
          <w:sz w:val="22"/>
          <w:lang w:eastAsia="zh-CN" w:bidi="hi-IN"/>
        </w:rPr>
        <w:t xml:space="preserve"> </w:t>
      </w:r>
      <w:r w:rsidRPr="0043024F">
        <w:rPr>
          <w:rFonts w:ascii="Arial" w:eastAsia="FreeSans" w:hAnsi="Arial" w:cs="Arial"/>
          <w:bCs/>
          <w:kern w:val="2"/>
          <w:sz w:val="22"/>
          <w:lang w:eastAsia="zh-CN" w:bidi="hi-IN"/>
        </w:rPr>
        <w:t xml:space="preserve">Bestandteil des Arbeitslebens. </w:t>
      </w:r>
    </w:p>
    <w:p w14:paraId="4DA9D971" w14:textId="77777777" w:rsidR="0043024F" w:rsidRPr="0043024F" w:rsidRDefault="0043024F" w:rsidP="0043024F">
      <w:pPr>
        <w:widowControl w:val="0"/>
        <w:suppressAutoHyphens/>
        <w:spacing w:after="0" w:line="240" w:lineRule="auto"/>
        <w:jc w:val="left"/>
        <w:rPr>
          <w:rFonts w:ascii="Arial" w:eastAsia="FreeSans" w:hAnsi="Arial" w:cs="Arial"/>
          <w:bCs/>
          <w:kern w:val="2"/>
          <w:sz w:val="22"/>
          <w:lang w:eastAsia="zh-CN" w:bidi="hi-IN"/>
        </w:rPr>
      </w:pPr>
      <w:r w:rsidRPr="0043024F">
        <w:rPr>
          <w:rFonts w:ascii="Arial" w:eastAsia="FreeSans" w:hAnsi="Arial" w:cs="Arial"/>
          <w:bCs/>
          <w:kern w:val="2"/>
          <w:sz w:val="22"/>
          <w:lang w:eastAsia="zh-CN" w:bidi="hi-IN"/>
        </w:rPr>
        <w:t>In manchen Bereichen ist ohne der Annahme auch kleiner, tageweiser und geringfügiger Jobs eine Verbleib im Erwerbsleben akut gefährdet bzw. wird man immer weiter aus diesem hinausgedrängt.</w:t>
      </w:r>
      <w:r w:rsidRPr="0043024F">
        <w:rPr>
          <w:rFonts w:ascii="Arial" w:eastAsia="FreeSans" w:hAnsi="Arial" w:cs="Arial"/>
          <w:b/>
          <w:bCs/>
          <w:kern w:val="2"/>
          <w:sz w:val="22"/>
          <w:lang w:eastAsia="zh-CN" w:bidi="hi-IN"/>
        </w:rPr>
        <w:br/>
      </w:r>
      <w:r w:rsidRPr="0043024F">
        <w:rPr>
          <w:rFonts w:ascii="Arial" w:eastAsia="FreeSans" w:hAnsi="Arial" w:cs="Arial"/>
          <w:bCs/>
          <w:kern w:val="2"/>
          <w:sz w:val="22"/>
          <w:lang w:eastAsia="zh-CN" w:bidi="hi-IN"/>
        </w:rPr>
        <w:t>Beispiel Kunst und Kultur: Geringfügige Einkommen sind ein Standard bei</w:t>
      </w:r>
      <w:r w:rsidRPr="0043024F">
        <w:rPr>
          <w:rFonts w:ascii="Arial" w:eastAsia="FreeSans" w:hAnsi="Arial" w:cs="Arial"/>
          <w:b/>
          <w:bCs/>
          <w:kern w:val="2"/>
          <w:sz w:val="22"/>
          <w:lang w:eastAsia="zh-CN" w:bidi="hi-IN"/>
        </w:rPr>
        <w:t xml:space="preserve"> </w:t>
      </w:r>
      <w:r w:rsidRPr="0043024F">
        <w:rPr>
          <w:rFonts w:ascii="Arial" w:eastAsia="FreeSans" w:hAnsi="Arial" w:cs="Arial"/>
          <w:bCs/>
          <w:kern w:val="2"/>
          <w:sz w:val="22"/>
          <w:lang w:eastAsia="zh-CN" w:bidi="hi-IN"/>
        </w:rPr>
        <w:t xml:space="preserve">kurzzeitigen Beschäftigungen und Aufträgen, insbesondere im Kontext von Film und darstellender Kunst, aber auch weit darüber hinaus. Kurze Dauer ist branchenimmanent: ein einzelner Drehtag (oder auch nur wenige Stunden), Gesangsabend (Einzelveranstaltung), Sprechen eines Hörfunk Spots, Artist Talk, Lesung, Verfassen einer Kunstkritik, oder auch eine (mehrmonatige) durchgehende Beschäftigung mit geringem Stundenausmaß, wie etwa eine einzelne Lehrveranstaltung z. B. an einer Kunstuniversität. Das Erwerbsleben der allermeisten im Sektor setzt sich aus einer Vielzahl solcher Jobs zusammen. Diese werde oft auch neben einem Arbeitslosengeldbezug erbracht. </w:t>
      </w:r>
    </w:p>
    <w:p w14:paraId="08079F9E" w14:textId="77777777" w:rsidR="0043024F" w:rsidRPr="0043024F" w:rsidRDefault="0043024F" w:rsidP="0043024F">
      <w:pPr>
        <w:widowControl w:val="0"/>
        <w:suppressAutoHyphens/>
        <w:spacing w:after="0" w:line="240" w:lineRule="auto"/>
        <w:jc w:val="left"/>
        <w:rPr>
          <w:rFonts w:ascii="Arial" w:eastAsia="FreeSans" w:hAnsi="Arial" w:cs="Arial"/>
          <w:bCs/>
          <w:kern w:val="2"/>
          <w:sz w:val="22"/>
          <w:lang w:eastAsia="zh-CN" w:bidi="hi-IN"/>
        </w:rPr>
      </w:pPr>
      <w:r w:rsidRPr="0043024F">
        <w:rPr>
          <w:rFonts w:ascii="Arial" w:eastAsia="FreeSans" w:hAnsi="Arial" w:cs="Arial"/>
          <w:bCs/>
          <w:kern w:val="2"/>
          <w:sz w:val="22"/>
          <w:lang w:eastAsia="zh-CN" w:bidi="hi-IN"/>
        </w:rPr>
        <w:t xml:space="preserve">Gerade für kleine Kulturbetriebe ist die Beschäftigung von Personen in nur geringer Stundeanzahl überlebensnotwendig. Gleichzeitig ist es für viele Beschäftigte Realität, dass sie keine Jobs mit ausreichender Bezahlung über der Geringfügigkeit bekommen. </w:t>
      </w:r>
    </w:p>
    <w:p w14:paraId="27832287" w14:textId="73BEF5C8" w:rsidR="0043024F" w:rsidRPr="0043024F" w:rsidRDefault="0043024F" w:rsidP="0043024F">
      <w:pPr>
        <w:widowControl w:val="0"/>
        <w:suppressAutoHyphens/>
        <w:spacing w:after="0" w:line="240" w:lineRule="auto"/>
        <w:jc w:val="left"/>
        <w:rPr>
          <w:rFonts w:ascii="Arial" w:eastAsia="FreeSans" w:hAnsi="Arial" w:cs="Arial"/>
          <w:b/>
          <w:bCs/>
          <w:kern w:val="2"/>
          <w:sz w:val="22"/>
          <w:lang w:val="de-AT" w:eastAsia="zh-CN" w:bidi="hi-IN"/>
        </w:rPr>
      </w:pPr>
      <w:r w:rsidRPr="0043024F">
        <w:rPr>
          <w:rFonts w:ascii="Arial" w:eastAsia="FreeSans" w:hAnsi="Arial" w:cs="Arial"/>
          <w:b/>
          <w:bCs/>
          <w:kern w:val="2"/>
          <w:sz w:val="22"/>
          <w:lang w:eastAsia="zh-CN" w:bidi="hi-IN"/>
        </w:rPr>
        <w:br/>
      </w:r>
      <w:r w:rsidRPr="0043024F">
        <w:rPr>
          <w:rFonts w:ascii="Arial" w:eastAsia="FreeSans" w:hAnsi="Arial" w:cs="Arial"/>
          <w:b/>
          <w:bCs/>
          <w:kern w:val="2"/>
          <w:sz w:val="22"/>
          <w:lang w:val="de-AT" w:eastAsia="zh-CN" w:bidi="hi-IN"/>
        </w:rPr>
        <w:t xml:space="preserve">Die Vollversammlung der Arbeiterkammer </w:t>
      </w:r>
      <w:r>
        <w:rPr>
          <w:rFonts w:ascii="Arial" w:eastAsia="FreeSans" w:hAnsi="Arial" w:cs="Arial"/>
          <w:b/>
          <w:bCs/>
          <w:kern w:val="2"/>
          <w:sz w:val="22"/>
          <w:lang w:val="de-AT" w:eastAsia="zh-CN" w:bidi="hi-IN"/>
        </w:rPr>
        <w:t>NÖ</w:t>
      </w:r>
      <w:r w:rsidRPr="0043024F">
        <w:rPr>
          <w:rFonts w:ascii="Arial" w:eastAsia="FreeSans" w:hAnsi="Arial" w:cs="Arial"/>
          <w:b/>
          <w:bCs/>
          <w:kern w:val="2"/>
          <w:sz w:val="22"/>
          <w:lang w:val="de-AT" w:eastAsia="zh-CN" w:bidi="hi-IN"/>
        </w:rPr>
        <w:t xml:space="preserve"> möge daher beschließen:</w:t>
      </w:r>
    </w:p>
    <w:p w14:paraId="6CD05C5F" w14:textId="532044A9" w:rsidR="0043024F" w:rsidRPr="0043024F" w:rsidRDefault="0043024F" w:rsidP="0043024F">
      <w:pPr>
        <w:widowControl w:val="0"/>
        <w:suppressAutoHyphens/>
        <w:spacing w:after="0" w:line="240" w:lineRule="auto"/>
        <w:jc w:val="left"/>
        <w:rPr>
          <w:rFonts w:ascii="Arial" w:eastAsia="FreeSans" w:hAnsi="Arial" w:cs="Arial"/>
          <w:bCs/>
          <w:kern w:val="2"/>
          <w:sz w:val="22"/>
          <w:lang w:eastAsia="zh-CN" w:bidi="hi-IN"/>
        </w:rPr>
      </w:pPr>
      <w:r w:rsidRPr="0043024F">
        <w:rPr>
          <w:rFonts w:ascii="Arial" w:eastAsia="FreeSans" w:hAnsi="Arial" w:cs="Arial"/>
          <w:b/>
          <w:bCs/>
          <w:kern w:val="2"/>
          <w:sz w:val="22"/>
          <w:lang w:val="de-AT" w:eastAsia="zh-CN" w:bidi="hi-IN"/>
        </w:rPr>
        <w:t xml:space="preserve">Die AK </w:t>
      </w:r>
      <w:r>
        <w:rPr>
          <w:rFonts w:ascii="Arial" w:eastAsia="FreeSans" w:hAnsi="Arial" w:cs="Arial"/>
          <w:b/>
          <w:bCs/>
          <w:kern w:val="2"/>
          <w:sz w:val="22"/>
          <w:lang w:val="de-AT" w:eastAsia="zh-CN" w:bidi="hi-IN"/>
        </w:rPr>
        <w:t>NÖ</w:t>
      </w:r>
      <w:r w:rsidRPr="0043024F">
        <w:rPr>
          <w:rFonts w:ascii="Arial" w:eastAsia="FreeSans" w:hAnsi="Arial" w:cs="Arial"/>
          <w:b/>
          <w:bCs/>
          <w:kern w:val="2"/>
          <w:sz w:val="22"/>
          <w:lang w:val="de-AT" w:eastAsia="zh-CN" w:bidi="hi-IN"/>
        </w:rPr>
        <w:t xml:space="preserve"> setzt sich ein für:</w:t>
      </w:r>
    </w:p>
    <w:p w14:paraId="1074A5B8" w14:textId="77777777" w:rsidR="0043024F" w:rsidRPr="0043024F" w:rsidRDefault="0043024F" w:rsidP="0043024F">
      <w:pPr>
        <w:widowControl w:val="0"/>
        <w:numPr>
          <w:ilvl w:val="0"/>
          <w:numId w:val="20"/>
        </w:numPr>
        <w:suppressAutoHyphens/>
        <w:spacing w:after="0" w:line="240" w:lineRule="auto"/>
        <w:jc w:val="left"/>
        <w:rPr>
          <w:rFonts w:ascii="Arial" w:eastAsia="FreeSans" w:hAnsi="Arial" w:cs="Arial"/>
          <w:b/>
          <w:bCs/>
          <w:kern w:val="2"/>
          <w:sz w:val="22"/>
          <w:lang w:eastAsia="zh-CN" w:bidi="hi-IN"/>
        </w:rPr>
      </w:pPr>
      <w:r w:rsidRPr="0043024F">
        <w:rPr>
          <w:rFonts w:ascii="Arial" w:eastAsia="FreeSans" w:hAnsi="Arial" w:cs="Arial"/>
          <w:b/>
          <w:bCs/>
          <w:kern w:val="2"/>
          <w:sz w:val="22"/>
          <w:lang w:eastAsia="zh-CN" w:bidi="hi-IN"/>
        </w:rPr>
        <w:t>Die Beibehaltung der Zuverdienstmöglichkeiten bei Leistungen aus dem AMS, allenfalls eine Stärkung der Möglichkeiten</w:t>
      </w:r>
    </w:p>
    <w:p w14:paraId="66064B66" w14:textId="77777777" w:rsidR="0043024F" w:rsidRPr="0043024F" w:rsidRDefault="0043024F" w:rsidP="0043024F">
      <w:pPr>
        <w:widowControl w:val="0"/>
        <w:numPr>
          <w:ilvl w:val="0"/>
          <w:numId w:val="20"/>
        </w:numPr>
        <w:suppressAutoHyphens/>
        <w:spacing w:after="0" w:line="240" w:lineRule="auto"/>
        <w:jc w:val="left"/>
        <w:rPr>
          <w:rFonts w:ascii="Arial" w:eastAsia="FreeSans" w:hAnsi="Arial" w:cs="Arial"/>
          <w:b/>
          <w:bCs/>
          <w:kern w:val="2"/>
          <w:sz w:val="22"/>
          <w:lang w:eastAsia="zh-CN" w:bidi="hi-IN"/>
        </w:rPr>
      </w:pPr>
      <w:r w:rsidRPr="0043024F">
        <w:rPr>
          <w:rFonts w:ascii="Arial" w:eastAsia="FreeSans" w:hAnsi="Arial" w:cs="Arial"/>
          <w:b/>
          <w:bCs/>
          <w:kern w:val="2"/>
          <w:sz w:val="22"/>
          <w:lang w:eastAsia="zh-CN" w:bidi="hi-IN"/>
        </w:rPr>
        <w:t>Eine Schnellstmögliche Lösung der jahrzehntealten Probleme im Zusammenspiel selbstständig, unselbstständig, erwerbslos, jedenfalls: Ausweitung der Ruhendmeldung auf alle neuen Selbstständigen, Abschaffung AlVG §12 (1) 2 (Pflichtversicherungsklausel), Einführung von Möglichkeiten zur Abgrenzung selbstständiger Einkommen vor, während und nach einem Arbeitslosengeldbezug.</w:t>
      </w:r>
    </w:p>
    <w:p w14:paraId="1A8773CE" w14:textId="77777777" w:rsidR="0043024F" w:rsidRPr="0043024F" w:rsidRDefault="0043024F" w:rsidP="0043024F">
      <w:pPr>
        <w:widowControl w:val="0"/>
        <w:numPr>
          <w:ilvl w:val="0"/>
          <w:numId w:val="21"/>
        </w:numPr>
        <w:suppressAutoHyphens/>
        <w:spacing w:after="0" w:line="240" w:lineRule="auto"/>
        <w:jc w:val="left"/>
        <w:rPr>
          <w:rFonts w:ascii="Arial" w:eastAsia="FreeSans" w:hAnsi="Arial" w:cs="Arial"/>
          <w:bCs/>
          <w:kern w:val="2"/>
          <w:sz w:val="22"/>
          <w:lang w:eastAsia="zh-CN" w:bidi="hi-IN"/>
        </w:rPr>
      </w:pPr>
      <w:r w:rsidRPr="0043024F">
        <w:rPr>
          <w:rFonts w:ascii="Arial" w:eastAsia="FreeSans" w:hAnsi="Arial" w:cs="Arial"/>
          <w:b/>
          <w:bCs/>
          <w:kern w:val="2"/>
          <w:sz w:val="22"/>
          <w:lang w:eastAsia="zh-CN" w:bidi="hi-IN"/>
        </w:rPr>
        <w:lastRenderedPageBreak/>
        <w:t>Jedenfalls: die Evaluierung von Problemen für Sektoren und einzelne Personengruppen von weitreichenden Maßnahmen wie der Abschaffung von Zuverdienstmöglichkeiten VOR einem entsprechenden Gesetzesbeschluss und damit einhergehend jedenfalls Entwicklung von Begleitmaßnahmen, die (a) dort wo notwendig den aufrechten Arbeitsmarkt nicht zerstören und (b) auf die Existenzsicherung vor allem im Niedriglohnbereich Rücksicht nehmen.</w:t>
      </w:r>
    </w:p>
    <w:p w14:paraId="597260F4" w14:textId="77777777" w:rsidR="0043024F" w:rsidRPr="0043024F" w:rsidRDefault="0043024F" w:rsidP="0043024F">
      <w:pPr>
        <w:widowControl w:val="0"/>
        <w:suppressAutoHyphens/>
        <w:spacing w:after="0" w:line="240" w:lineRule="auto"/>
        <w:jc w:val="left"/>
        <w:rPr>
          <w:rFonts w:ascii="Arial" w:eastAsia="FreeSans" w:hAnsi="Arial" w:cs="Arial"/>
          <w:bCs/>
          <w:kern w:val="2"/>
          <w:sz w:val="22"/>
          <w:lang w:eastAsia="zh-CN" w:bidi="hi-IN"/>
        </w:rPr>
      </w:pP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sectPr w:rsidR="00C271C6"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E2EA" w14:textId="77777777" w:rsidR="006C0366" w:rsidRDefault="006C0366" w:rsidP="007E3340">
      <w:pPr>
        <w:spacing w:after="0" w:line="240" w:lineRule="auto"/>
      </w:pPr>
      <w:r>
        <w:separator/>
      </w:r>
    </w:p>
  </w:endnote>
  <w:endnote w:type="continuationSeparator" w:id="0">
    <w:p w14:paraId="1FED60B2" w14:textId="77777777" w:rsidR="006C0366" w:rsidRDefault="006C0366"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9CA2" w14:textId="77777777" w:rsidR="006C0366" w:rsidRDefault="006C0366" w:rsidP="007E3340">
      <w:pPr>
        <w:spacing w:after="0" w:line="240" w:lineRule="auto"/>
      </w:pPr>
      <w:r>
        <w:separator/>
      </w:r>
    </w:p>
  </w:footnote>
  <w:footnote w:type="continuationSeparator" w:id="0">
    <w:p w14:paraId="0B5500CC" w14:textId="77777777" w:rsidR="006C0366" w:rsidRDefault="006C0366"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9F31797"/>
    <w:multiLevelType w:val="hybridMultilevel"/>
    <w:tmpl w:val="807A5F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5"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7"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F9E574C"/>
    <w:multiLevelType w:val="multilevel"/>
    <w:tmpl w:val="7E8AE9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5"/>
  </w:num>
  <w:num w:numId="2" w16cid:durableId="2052414985">
    <w:abstractNumId w:val="13"/>
  </w:num>
  <w:num w:numId="3" w16cid:durableId="580868926">
    <w:abstractNumId w:val="14"/>
  </w:num>
  <w:num w:numId="4" w16cid:durableId="1065252257">
    <w:abstractNumId w:val="16"/>
  </w:num>
  <w:num w:numId="5" w16cid:durableId="2123838661">
    <w:abstractNumId w:val="20"/>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0"/>
  </w:num>
  <w:num w:numId="13" w16cid:durableId="642195053">
    <w:abstractNumId w:val="9"/>
  </w:num>
  <w:num w:numId="14" w16cid:durableId="134182733">
    <w:abstractNumId w:val="7"/>
  </w:num>
  <w:num w:numId="15" w16cid:durableId="1957561223">
    <w:abstractNumId w:val="5"/>
  </w:num>
  <w:num w:numId="16" w16cid:durableId="713306920">
    <w:abstractNumId w:val="18"/>
  </w:num>
  <w:num w:numId="17" w16cid:durableId="788014851">
    <w:abstractNumId w:val="17"/>
  </w:num>
  <w:num w:numId="18" w16cid:durableId="1856770132">
    <w:abstractNumId w:val="11"/>
  </w:num>
  <w:num w:numId="19" w16cid:durableId="1811357838">
    <w:abstractNumId w:val="8"/>
  </w:num>
  <w:num w:numId="20" w16cid:durableId="1138377024">
    <w:abstractNumId w:val="19"/>
    <w:lvlOverride w:ilvl="0"/>
    <w:lvlOverride w:ilvl="1"/>
    <w:lvlOverride w:ilvl="2"/>
    <w:lvlOverride w:ilvl="3"/>
    <w:lvlOverride w:ilvl="4"/>
    <w:lvlOverride w:ilvl="5"/>
    <w:lvlOverride w:ilvl="6"/>
    <w:lvlOverride w:ilvl="7"/>
    <w:lvlOverride w:ilvl="8"/>
  </w:num>
  <w:num w:numId="21" w16cid:durableId="616371685">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7032C"/>
    <w:rsid w:val="00091476"/>
    <w:rsid w:val="000B7563"/>
    <w:rsid w:val="000E6D8D"/>
    <w:rsid w:val="000F5F3D"/>
    <w:rsid w:val="00123636"/>
    <w:rsid w:val="00141A83"/>
    <w:rsid w:val="001626C5"/>
    <w:rsid w:val="001652F6"/>
    <w:rsid w:val="00167D72"/>
    <w:rsid w:val="00182BEB"/>
    <w:rsid w:val="00182D5C"/>
    <w:rsid w:val="001B3EAB"/>
    <w:rsid w:val="00206CBB"/>
    <w:rsid w:val="00211970"/>
    <w:rsid w:val="0023705D"/>
    <w:rsid w:val="00256BBB"/>
    <w:rsid w:val="00270260"/>
    <w:rsid w:val="00291F48"/>
    <w:rsid w:val="00295C60"/>
    <w:rsid w:val="002979C2"/>
    <w:rsid w:val="002B4E93"/>
    <w:rsid w:val="00300D4F"/>
    <w:rsid w:val="003156B3"/>
    <w:rsid w:val="00317D3F"/>
    <w:rsid w:val="00343BEB"/>
    <w:rsid w:val="0035289C"/>
    <w:rsid w:val="0036633E"/>
    <w:rsid w:val="00392DD4"/>
    <w:rsid w:val="003A53D5"/>
    <w:rsid w:val="003B0771"/>
    <w:rsid w:val="003B4EB1"/>
    <w:rsid w:val="004005AB"/>
    <w:rsid w:val="00406FC2"/>
    <w:rsid w:val="0043024F"/>
    <w:rsid w:val="00472D17"/>
    <w:rsid w:val="004A6D28"/>
    <w:rsid w:val="004E2904"/>
    <w:rsid w:val="004E3ADB"/>
    <w:rsid w:val="00522D9A"/>
    <w:rsid w:val="00564AF3"/>
    <w:rsid w:val="005729B1"/>
    <w:rsid w:val="00577123"/>
    <w:rsid w:val="0058328A"/>
    <w:rsid w:val="00585E64"/>
    <w:rsid w:val="00592655"/>
    <w:rsid w:val="005C7463"/>
    <w:rsid w:val="00626970"/>
    <w:rsid w:val="00635EF2"/>
    <w:rsid w:val="006670AC"/>
    <w:rsid w:val="00667620"/>
    <w:rsid w:val="006857E6"/>
    <w:rsid w:val="00695D8C"/>
    <w:rsid w:val="006B5740"/>
    <w:rsid w:val="006B7130"/>
    <w:rsid w:val="006C0366"/>
    <w:rsid w:val="006C5259"/>
    <w:rsid w:val="006D1FE8"/>
    <w:rsid w:val="006E540A"/>
    <w:rsid w:val="006E7575"/>
    <w:rsid w:val="006F2F4E"/>
    <w:rsid w:val="00722158"/>
    <w:rsid w:val="007C6694"/>
    <w:rsid w:val="007E3340"/>
    <w:rsid w:val="007E5C0D"/>
    <w:rsid w:val="00821E30"/>
    <w:rsid w:val="00822045"/>
    <w:rsid w:val="00826DC2"/>
    <w:rsid w:val="00831E9F"/>
    <w:rsid w:val="0089380D"/>
    <w:rsid w:val="008A6F58"/>
    <w:rsid w:val="008B0812"/>
    <w:rsid w:val="008B0B42"/>
    <w:rsid w:val="008D608A"/>
    <w:rsid w:val="00920A98"/>
    <w:rsid w:val="00926731"/>
    <w:rsid w:val="00926B46"/>
    <w:rsid w:val="0093274A"/>
    <w:rsid w:val="00966DC0"/>
    <w:rsid w:val="00983FC8"/>
    <w:rsid w:val="00992CF7"/>
    <w:rsid w:val="009C4C38"/>
    <w:rsid w:val="009D3129"/>
    <w:rsid w:val="009E2C88"/>
    <w:rsid w:val="009E535C"/>
    <w:rsid w:val="00A27C65"/>
    <w:rsid w:val="00A32774"/>
    <w:rsid w:val="00A45A50"/>
    <w:rsid w:val="00A5286A"/>
    <w:rsid w:val="00A754D4"/>
    <w:rsid w:val="00A86038"/>
    <w:rsid w:val="00A869D7"/>
    <w:rsid w:val="00AD4DF8"/>
    <w:rsid w:val="00AE6C4F"/>
    <w:rsid w:val="00AE7411"/>
    <w:rsid w:val="00B13E74"/>
    <w:rsid w:val="00B169B3"/>
    <w:rsid w:val="00B171AC"/>
    <w:rsid w:val="00B31123"/>
    <w:rsid w:val="00B42663"/>
    <w:rsid w:val="00BE65F1"/>
    <w:rsid w:val="00BF1E63"/>
    <w:rsid w:val="00BF53BC"/>
    <w:rsid w:val="00C01DB1"/>
    <w:rsid w:val="00C02C67"/>
    <w:rsid w:val="00C2591B"/>
    <w:rsid w:val="00C271C6"/>
    <w:rsid w:val="00C34437"/>
    <w:rsid w:val="00C43DFD"/>
    <w:rsid w:val="00C4727F"/>
    <w:rsid w:val="00C72627"/>
    <w:rsid w:val="00C91EA4"/>
    <w:rsid w:val="00CA018A"/>
    <w:rsid w:val="00CA5AB8"/>
    <w:rsid w:val="00CB02D2"/>
    <w:rsid w:val="00D12EEF"/>
    <w:rsid w:val="00D31029"/>
    <w:rsid w:val="00D3133E"/>
    <w:rsid w:val="00D75723"/>
    <w:rsid w:val="00D80033"/>
    <w:rsid w:val="00D84402"/>
    <w:rsid w:val="00D85112"/>
    <w:rsid w:val="00D97FBC"/>
    <w:rsid w:val="00DB512B"/>
    <w:rsid w:val="00DB5F11"/>
    <w:rsid w:val="00DC1041"/>
    <w:rsid w:val="00DE3B1D"/>
    <w:rsid w:val="00E123B2"/>
    <w:rsid w:val="00E232F3"/>
    <w:rsid w:val="00E306DF"/>
    <w:rsid w:val="00E56586"/>
    <w:rsid w:val="00E9726D"/>
    <w:rsid w:val="00EA5878"/>
    <w:rsid w:val="00EE5627"/>
    <w:rsid w:val="00EF2B07"/>
    <w:rsid w:val="00EF366A"/>
    <w:rsid w:val="00EF6573"/>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501050967">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2555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Wipfel, Reinhold</dc:creator>
  <cp:lastModifiedBy>psz</cp:lastModifiedBy>
  <cp:revision>2</cp:revision>
  <cp:lastPrinted>2016-01-12T07:27:00Z</cp:lastPrinted>
  <dcterms:created xsi:type="dcterms:W3CDTF">2025-05-12T16:47:00Z</dcterms:created>
  <dcterms:modified xsi:type="dcterms:W3CDTF">2025-05-12T16:47:00Z</dcterms:modified>
</cp:coreProperties>
</file>