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5B730A80"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673583">
        <w:rPr>
          <w:rFonts w:ascii="Arial" w:eastAsia="FreeSans" w:hAnsi="Arial" w:cs="Arial"/>
          <w:kern w:val="2"/>
          <w:sz w:val="22"/>
          <w:lang w:val="de-AT" w:eastAsia="zh-CN" w:bidi="hi-IN"/>
        </w:rPr>
        <w:t>20</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7709FC78" w14:textId="2BEBF9B8" w:rsidR="00673583" w:rsidRPr="00673583" w:rsidRDefault="00673583" w:rsidP="00673583">
      <w:pPr>
        <w:widowControl w:val="0"/>
        <w:suppressAutoHyphens/>
        <w:spacing w:after="0" w:line="240" w:lineRule="auto"/>
        <w:jc w:val="left"/>
        <w:rPr>
          <w:rFonts w:ascii="Arial" w:eastAsia="FreeSans" w:hAnsi="Arial" w:cs="Arial"/>
          <w:b/>
          <w:bCs/>
          <w:kern w:val="2"/>
          <w:sz w:val="22"/>
          <w:lang w:eastAsia="zh-CN" w:bidi="hi-IN"/>
        </w:rPr>
      </w:pPr>
    </w:p>
    <w:p w14:paraId="55277344" w14:textId="5947A0AD" w:rsidR="00673583" w:rsidRPr="00673583" w:rsidRDefault="00673583" w:rsidP="00673583">
      <w:pPr>
        <w:widowControl w:val="0"/>
        <w:suppressAutoHyphens/>
        <w:spacing w:after="0" w:line="240" w:lineRule="auto"/>
        <w:jc w:val="left"/>
        <w:rPr>
          <w:rFonts w:ascii="Arial" w:eastAsia="FreeSans" w:hAnsi="Arial" w:cs="Arial"/>
          <w:b/>
          <w:bCs/>
          <w:kern w:val="2"/>
          <w:sz w:val="22"/>
          <w:lang w:eastAsia="zh-CN" w:bidi="hi-IN"/>
        </w:rPr>
      </w:pPr>
      <w:r w:rsidRPr="00673583">
        <w:rPr>
          <w:rFonts w:ascii="Arial" w:eastAsia="FreeSans" w:hAnsi="Arial" w:cs="Arial"/>
          <w:b/>
          <w:bCs/>
          <w:kern w:val="2"/>
          <w:sz w:val="22"/>
          <w:lang w:eastAsia="zh-CN" w:bidi="hi-IN"/>
        </w:rPr>
        <w:t>Verfassungskonforme Bestellung der Funktionär*innen des BVAEB</w:t>
      </w:r>
    </w:p>
    <w:p w14:paraId="7289AD49" w14:textId="77777777" w:rsidR="00673583" w:rsidRDefault="00673583" w:rsidP="00673583">
      <w:pPr>
        <w:widowControl w:val="0"/>
        <w:suppressAutoHyphens/>
        <w:spacing w:after="0" w:line="240" w:lineRule="auto"/>
        <w:jc w:val="left"/>
        <w:rPr>
          <w:rFonts w:ascii="Arial" w:eastAsia="FreeSans" w:hAnsi="Arial" w:cs="Arial"/>
          <w:bCs/>
          <w:kern w:val="2"/>
          <w:sz w:val="22"/>
          <w:lang w:eastAsia="zh-CN" w:bidi="hi-IN"/>
        </w:rPr>
      </w:pPr>
    </w:p>
    <w:p w14:paraId="26F951E0" w14:textId="16D7DEC3"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Im Dezember 2019 hob der Verfassungsgerichtshof auf Antrag der Arbeiterkammern § 133 BKUVG auf, mit dem die Bestellung der Versicherungsvertreter:innen in der damals neu geschaffenen BVAEB, der Versicherungsanstalt Öffentlich Bediensteter, Eisenbahn und Bergbau, geregelt werden sollte (Erkenntnis G 211-213/2019-2 vom 13.12.2019). Bereits wenige Tage danach trat ein Mitglied des damals bereits (quasi auf Basis einer verfassungswidrigen Bestimmung) konstituierten Verwaltungsrates des Versicherungsträgers zurück, um ein Nationalratsmandat annehmen zu können.</w:t>
      </w:r>
    </w:p>
    <w:p w14:paraId="45C6D4EB" w14:textId="77777777"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Eine Neuregelung des aufgehobenen § 133 BKUVG, der nie in Kraft getreten war, konnte nicht erreicht werden. Somit ist der Verwaltungsrat der BVAEB seit Jänner 2020 falsch in verfassungswidriger Weise bestellt und – da keine Neubesetzungen erfolgen können – auch nicht vollständig. Im Verlauf der vergangenen fünf Jahre gerieten auch andere Gremien der BVAEB zumindest an den Rand der Handlungsunfähigkeit.</w:t>
      </w:r>
    </w:p>
    <w:p w14:paraId="77E30D57" w14:textId="77777777"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Mehrere Versuche des Sozialministeriums, eine verfassungskonforme Regelung zu schaffen oder zumindest einen aus den Grundsätzen der ASVG abgeleitete verfassungskonformen Bestellprozess einzuleiten, scheiterten an – nennen wir es einmal – zuwiderlaufenden politischen Interessen.</w:t>
      </w:r>
    </w:p>
    <w:p w14:paraId="5C83B7DE" w14:textId="77777777"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In seinem Erkenntnis stellte der VfGH fest, dass Versicherungsvertreter:innen „aus dem Kreis dort gewählter Funktionsträger der zuständigen öffentlich-rechtlichen Interessenvertretungen der Dienstnehmer und Dienstgeber zu entsenden“ seien. Diesem „verfassungsrechtlichen Gebot gemäß Art. 120c Abs. 1 B-VG widerspricht die Regelung des § 133 B-KUVG. Nach § 133 Abs. 1 B-KUVG erfolgt nämlich die Entsendung der VersicherungsvertreterInnen aus der Gruppe der Dienstnehmer nicht durch aus dem Kreis der Dienstnehmer gewählte Funktionsträger der (zuständigen) öffentlich-rechtlichen Interessenvertretung…“</w:t>
      </w:r>
    </w:p>
    <w:p w14:paraId="4431A3D4" w14:textId="77777777"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Im Jahr 2025 ist der Druck zur Neuregelung des § 133 BKUVG insofern noch einmal erheblich gestiegen, als die Funktionsdauer des (quasi verfassungswidrig bestellten) bisherigen Verwaltungsrates der BVAEB (und im Übrigen auch aller anderen Gremien der BVAEB) mit 31.12.2024 abgelaufen ist.</w:t>
      </w:r>
    </w:p>
    <w:p w14:paraId="3F66D03C" w14:textId="77777777"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Folgerichtig wurde im Regierungsprogramm der neuen Bundesregierung auf Seite 114 auch festgeschrieben: „BVAEB - Zusammensetzung der Führungsgremien verfassungskonform festsetzen.“</w:t>
      </w:r>
    </w:p>
    <w:p w14:paraId="664F6DEE" w14:textId="77777777"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Inzwischen gibt es (wieder) mehrere Entwürfe einer Neuregelung:</w:t>
      </w:r>
    </w:p>
    <w:p w14:paraId="10391F07" w14:textId="77777777" w:rsidR="00673583" w:rsidRPr="00673583" w:rsidRDefault="00673583" w:rsidP="00673583">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 xml:space="preserve">Jener Gesetzesvorschlag, den das Sozialministerium in Kooperation mit den zuständigen Expert:innen der Arbeiterkammer Wien bereits im Jänner 2020 zur Umsetzung des VfGH-Erkenntnis vom 13. Dezember 2019 ausgearbeitet </w:t>
      </w:r>
      <w:r w:rsidRPr="00673583">
        <w:rPr>
          <w:rFonts w:ascii="Arial" w:eastAsia="FreeSans" w:hAnsi="Arial" w:cs="Arial"/>
          <w:bCs/>
          <w:kern w:val="2"/>
          <w:sz w:val="22"/>
          <w:lang w:eastAsia="zh-CN" w:bidi="hi-IN"/>
        </w:rPr>
        <w:lastRenderedPageBreak/>
        <w:t>hat, wurde als Initiativantrag in den Nationalrat eingebracht. Er sieht – wie in der Erkenntnis des VfGH als Bedingung genannt - eine Bestellung durch die Arbeiterkammern für all jene BVAEB-Versicherten vor, die Mitglied der Arbeiterkammern sind.</w:t>
      </w:r>
    </w:p>
    <w:p w14:paraId="7A6801AB" w14:textId="77777777" w:rsidR="00673583" w:rsidRPr="00673583" w:rsidRDefault="00673583" w:rsidP="00673583">
      <w:pPr>
        <w:widowControl w:val="0"/>
        <w:numPr>
          <w:ilvl w:val="0"/>
          <w:numId w:val="20"/>
        </w:numPr>
        <w:suppressAutoHyphens/>
        <w:spacing w:after="0" w:line="240" w:lineRule="auto"/>
        <w:jc w:val="left"/>
        <w:rPr>
          <w:rFonts w:ascii="Arial" w:eastAsia="FreeSans" w:hAnsi="Arial" w:cs="Arial"/>
          <w:bCs/>
          <w:kern w:val="2"/>
          <w:sz w:val="22"/>
          <w:lang w:eastAsia="zh-CN" w:bidi="hi-IN"/>
        </w:rPr>
      </w:pPr>
      <w:r w:rsidRPr="00673583">
        <w:rPr>
          <w:rFonts w:ascii="Arial" w:eastAsia="FreeSans" w:hAnsi="Arial" w:cs="Arial"/>
          <w:bCs/>
          <w:kern w:val="2"/>
          <w:sz w:val="22"/>
          <w:lang w:eastAsia="zh-CN" w:bidi="hi-IN"/>
        </w:rPr>
        <w:t>Daneben liegen noch zumindest zwei Vorschläge vor, die dieser Bedingung nicht genügen und die nicht auf die vom VfGH geforderte Beschickung aus dem Kreis der öffentlich-rechtlichen Interessensvertretung, also der Arbeiterkammer, abstellen.</w:t>
      </w:r>
    </w:p>
    <w:p w14:paraId="0314EAD2" w14:textId="77777777"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p>
    <w:p w14:paraId="54812AC4" w14:textId="35DF0A73" w:rsidR="00673583" w:rsidRPr="00673583" w:rsidRDefault="00673583" w:rsidP="00673583">
      <w:pPr>
        <w:widowControl w:val="0"/>
        <w:suppressAutoHyphens/>
        <w:spacing w:after="0" w:line="240" w:lineRule="auto"/>
        <w:jc w:val="left"/>
        <w:rPr>
          <w:rFonts w:ascii="Arial" w:eastAsia="FreeSans" w:hAnsi="Arial" w:cs="Arial"/>
          <w:b/>
          <w:bCs/>
          <w:kern w:val="2"/>
          <w:sz w:val="22"/>
          <w:lang w:eastAsia="zh-CN" w:bidi="hi-IN"/>
        </w:rPr>
      </w:pPr>
      <w:r w:rsidRPr="00673583">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NÖ</w:t>
      </w:r>
      <w:r w:rsidRPr="00673583">
        <w:rPr>
          <w:rFonts w:ascii="Arial" w:eastAsia="FreeSans" w:hAnsi="Arial" w:cs="Arial"/>
          <w:b/>
          <w:bCs/>
          <w:kern w:val="2"/>
          <w:sz w:val="22"/>
          <w:lang w:val="de-AT" w:eastAsia="zh-CN" w:bidi="hi-IN"/>
        </w:rPr>
        <w:t xml:space="preserve"> möge daher beschließen:</w:t>
      </w:r>
    </w:p>
    <w:p w14:paraId="7A528F0C" w14:textId="73B7DF2D" w:rsidR="00673583" w:rsidRPr="00673583" w:rsidRDefault="00673583" w:rsidP="00673583">
      <w:pPr>
        <w:widowControl w:val="0"/>
        <w:suppressAutoHyphens/>
        <w:spacing w:after="0" w:line="240" w:lineRule="auto"/>
        <w:jc w:val="left"/>
        <w:rPr>
          <w:rFonts w:ascii="Arial" w:eastAsia="FreeSans" w:hAnsi="Arial" w:cs="Arial"/>
          <w:b/>
          <w:bCs/>
          <w:kern w:val="2"/>
          <w:sz w:val="22"/>
          <w:lang w:eastAsia="zh-CN" w:bidi="hi-IN"/>
        </w:rPr>
      </w:pPr>
      <w:r w:rsidRPr="00673583">
        <w:rPr>
          <w:rFonts w:ascii="Arial" w:eastAsia="FreeSans" w:hAnsi="Arial" w:cs="Arial"/>
          <w:b/>
          <w:bCs/>
          <w:kern w:val="2"/>
          <w:sz w:val="22"/>
          <w:lang w:eastAsia="zh-CN" w:bidi="hi-IN"/>
        </w:rPr>
        <w:t xml:space="preserve">Die Vollversammlung der Kammer für Arbeiter und Angestellte </w:t>
      </w:r>
      <w:r>
        <w:rPr>
          <w:rFonts w:ascii="Arial" w:eastAsia="FreeSans" w:hAnsi="Arial" w:cs="Arial"/>
          <w:b/>
          <w:bCs/>
          <w:kern w:val="2"/>
          <w:sz w:val="22"/>
          <w:lang w:eastAsia="zh-CN" w:bidi="hi-IN"/>
        </w:rPr>
        <w:t>NÖ</w:t>
      </w:r>
      <w:r w:rsidRPr="00673583">
        <w:rPr>
          <w:rFonts w:ascii="Arial" w:eastAsia="FreeSans" w:hAnsi="Arial" w:cs="Arial"/>
          <w:b/>
          <w:bCs/>
          <w:kern w:val="2"/>
          <w:sz w:val="22"/>
          <w:lang w:eastAsia="zh-CN" w:bidi="hi-IN"/>
        </w:rPr>
        <w:t xml:space="preserve"> tritt für die vollständige Berücksichtigung des VfGH-Erkenntnisses G 211-213/2019-2 vom 13.12.2019 bei der notwendigen Neufassung von § 133 BKUVG ein und ersucht die Bundesregierung sowie die zuständige Ministerin für Arbeit, Soziales, Gesundheit, Pflege und Konsumentenschutz sicherzustellen, dass die Bestellung der Mitglieder der BKUVG-Gremien für jene Versicherten, die Mitglied der Arbeiterkammern sind, auch durch deren gesetzliche Interessensvertretung, also die Arbeiterkammer, erfolgt.</w:t>
      </w:r>
    </w:p>
    <w:p w14:paraId="4C46BB24" w14:textId="29FE3F35" w:rsidR="00673583" w:rsidRPr="00673583" w:rsidRDefault="00673583" w:rsidP="00673583">
      <w:pPr>
        <w:widowControl w:val="0"/>
        <w:suppressAutoHyphens/>
        <w:spacing w:after="0" w:line="240" w:lineRule="auto"/>
        <w:jc w:val="left"/>
        <w:rPr>
          <w:rFonts w:ascii="Arial" w:eastAsia="FreeSans" w:hAnsi="Arial" w:cs="Arial"/>
          <w:bCs/>
          <w:kern w:val="2"/>
          <w:sz w:val="22"/>
          <w:lang w:eastAsia="zh-CN" w:bidi="hi-IN"/>
        </w:rPr>
      </w:pPr>
      <w:r>
        <w:rPr>
          <w:rFonts w:ascii="Arial" w:eastAsia="FreeSans" w:hAnsi="Arial" w:cs="Arial"/>
          <w:b/>
          <w:bCs/>
          <w:kern w:val="2"/>
          <w:sz w:val="22"/>
          <w:lang w:eastAsia="zh-CN" w:bidi="hi-IN"/>
        </w:rPr>
        <w:t>Die</w:t>
      </w:r>
      <w:r w:rsidRPr="00673583">
        <w:rPr>
          <w:rFonts w:ascii="Arial" w:eastAsia="FreeSans" w:hAnsi="Arial" w:cs="Arial"/>
          <w:b/>
          <w:bCs/>
          <w:kern w:val="2"/>
          <w:sz w:val="22"/>
          <w:lang w:eastAsia="zh-CN" w:bidi="hi-IN"/>
        </w:rPr>
        <w:t xml:space="preserve"> Arbeiterkammer wird </w:t>
      </w:r>
      <w:r>
        <w:rPr>
          <w:rFonts w:ascii="Arial" w:eastAsia="FreeSans" w:hAnsi="Arial" w:cs="Arial"/>
          <w:b/>
          <w:bCs/>
          <w:kern w:val="2"/>
          <w:sz w:val="22"/>
          <w:lang w:eastAsia="zh-CN" w:bidi="hi-IN"/>
        </w:rPr>
        <w:t xml:space="preserve">also </w:t>
      </w:r>
      <w:r w:rsidRPr="00673583">
        <w:rPr>
          <w:rFonts w:ascii="Arial" w:eastAsia="FreeSans" w:hAnsi="Arial" w:cs="Arial"/>
          <w:b/>
          <w:bCs/>
          <w:kern w:val="2"/>
          <w:sz w:val="22"/>
          <w:lang w:eastAsia="zh-CN" w:bidi="hi-IN"/>
        </w:rPr>
        <w:t>öffentlich dafür einzutreten und alle ihr möglichen Schritte zu setzen, um sicherzustellen, dass die Neuregelung des § 133 BKUVG so umgesetzt wird, dass die für die AK-Mitglieder zuständigen Versicherungs-Vertreter:innen in den BKUVG-Gremien auch tatsächlich von ihrer gesetzlichen Interessensvertretung, also der Arbeiterkammer, beschickt werden.</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sectPr w:rsidR="00C271C6" w:rsidSect="00577123">
      <w:headerReference w:type="default" r:id="rId9"/>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B68A" w14:textId="77777777" w:rsidR="00376249" w:rsidRDefault="00376249" w:rsidP="007E3340">
      <w:pPr>
        <w:spacing w:after="0" w:line="240" w:lineRule="auto"/>
      </w:pPr>
      <w:r>
        <w:separator/>
      </w:r>
    </w:p>
  </w:endnote>
  <w:endnote w:type="continuationSeparator" w:id="0">
    <w:p w14:paraId="719C41DA" w14:textId="77777777" w:rsidR="00376249" w:rsidRDefault="00376249"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91E8" w14:textId="77777777" w:rsidR="00376249" w:rsidRDefault="00376249" w:rsidP="007E3340">
      <w:pPr>
        <w:spacing w:after="0" w:line="240" w:lineRule="auto"/>
      </w:pPr>
      <w:r>
        <w:separator/>
      </w:r>
    </w:p>
  </w:footnote>
  <w:footnote w:type="continuationSeparator" w:id="0">
    <w:p w14:paraId="609A98E8" w14:textId="77777777" w:rsidR="00376249" w:rsidRDefault="00376249"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548373C6"/>
    <w:multiLevelType w:val="multilevel"/>
    <w:tmpl w:val="AD400B4A"/>
    <w:lvl w:ilvl="0">
      <w:start w:val="1"/>
      <w:numFmt w:val="bullet"/>
      <w:lvlText w:val=""/>
      <w:lvlJc w:val="left"/>
      <w:pPr>
        <w:tabs>
          <w:tab w:val="num" w:pos="960"/>
        </w:tabs>
        <w:ind w:left="960" w:hanging="360"/>
      </w:pPr>
      <w:rPr>
        <w:rFonts w:ascii="Symbol" w:hAnsi="Symbol" w:cs="Symbol" w:hint="default"/>
      </w:rPr>
    </w:lvl>
    <w:lvl w:ilvl="1">
      <w:start w:val="1"/>
      <w:numFmt w:val="bullet"/>
      <w:lvlText w:val="◦"/>
      <w:lvlJc w:val="left"/>
      <w:pPr>
        <w:tabs>
          <w:tab w:val="num" w:pos="1320"/>
        </w:tabs>
        <w:ind w:left="1320" w:hanging="360"/>
      </w:pPr>
      <w:rPr>
        <w:rFonts w:ascii="OpenSymbol" w:hAnsi="OpenSymbol" w:cs="OpenSymbol" w:hint="default"/>
      </w:rPr>
    </w:lvl>
    <w:lvl w:ilvl="2">
      <w:start w:val="1"/>
      <w:numFmt w:val="bullet"/>
      <w:lvlText w:val="▪"/>
      <w:lvlJc w:val="left"/>
      <w:pPr>
        <w:tabs>
          <w:tab w:val="num" w:pos="1680"/>
        </w:tabs>
        <w:ind w:left="1680" w:hanging="360"/>
      </w:pPr>
      <w:rPr>
        <w:rFonts w:ascii="OpenSymbol" w:hAnsi="OpenSymbol" w:cs="OpenSymbol" w:hint="default"/>
      </w:rPr>
    </w:lvl>
    <w:lvl w:ilvl="3">
      <w:start w:val="1"/>
      <w:numFmt w:val="bullet"/>
      <w:lvlText w:val=""/>
      <w:lvlJc w:val="left"/>
      <w:pPr>
        <w:tabs>
          <w:tab w:val="num" w:pos="2040"/>
        </w:tabs>
        <w:ind w:left="2040" w:hanging="360"/>
      </w:pPr>
      <w:rPr>
        <w:rFonts w:ascii="Symbol" w:hAnsi="Symbol" w:cs="Symbol" w:hint="default"/>
      </w:rPr>
    </w:lvl>
    <w:lvl w:ilvl="4">
      <w:start w:val="1"/>
      <w:numFmt w:val="bullet"/>
      <w:lvlText w:val="◦"/>
      <w:lvlJc w:val="left"/>
      <w:pPr>
        <w:tabs>
          <w:tab w:val="num" w:pos="2400"/>
        </w:tabs>
        <w:ind w:left="2400" w:hanging="360"/>
      </w:pPr>
      <w:rPr>
        <w:rFonts w:ascii="OpenSymbol" w:hAnsi="OpenSymbol" w:cs="OpenSymbol" w:hint="default"/>
      </w:rPr>
    </w:lvl>
    <w:lvl w:ilvl="5">
      <w:start w:val="1"/>
      <w:numFmt w:val="bullet"/>
      <w:lvlText w:val="▪"/>
      <w:lvlJc w:val="left"/>
      <w:pPr>
        <w:tabs>
          <w:tab w:val="num" w:pos="2760"/>
        </w:tabs>
        <w:ind w:left="2760" w:hanging="360"/>
      </w:pPr>
      <w:rPr>
        <w:rFonts w:ascii="OpenSymbol" w:hAnsi="OpenSymbol" w:cs="OpenSymbol" w:hint="default"/>
      </w:rPr>
    </w:lvl>
    <w:lvl w:ilvl="6">
      <w:start w:val="1"/>
      <w:numFmt w:val="bullet"/>
      <w:lvlText w:val=""/>
      <w:lvlJc w:val="left"/>
      <w:pPr>
        <w:tabs>
          <w:tab w:val="num" w:pos="3120"/>
        </w:tabs>
        <w:ind w:left="3120" w:hanging="360"/>
      </w:pPr>
      <w:rPr>
        <w:rFonts w:ascii="Symbol" w:hAnsi="Symbol" w:cs="Symbol" w:hint="default"/>
      </w:rPr>
    </w:lvl>
    <w:lvl w:ilvl="7">
      <w:start w:val="1"/>
      <w:numFmt w:val="bullet"/>
      <w:lvlText w:val="◦"/>
      <w:lvlJc w:val="left"/>
      <w:pPr>
        <w:tabs>
          <w:tab w:val="num" w:pos="3480"/>
        </w:tabs>
        <w:ind w:left="3480" w:hanging="360"/>
      </w:pPr>
      <w:rPr>
        <w:rFonts w:ascii="OpenSymbol" w:hAnsi="OpenSymbol" w:cs="OpenSymbol" w:hint="default"/>
      </w:rPr>
    </w:lvl>
    <w:lvl w:ilvl="8">
      <w:start w:val="1"/>
      <w:numFmt w:val="bullet"/>
      <w:lvlText w:val="▪"/>
      <w:lvlJc w:val="left"/>
      <w:pPr>
        <w:tabs>
          <w:tab w:val="num" w:pos="3840"/>
        </w:tabs>
        <w:ind w:left="3840" w:hanging="360"/>
      </w:pPr>
      <w:rPr>
        <w:rFonts w:ascii="OpenSymbol" w:hAnsi="OpenSymbol" w:cs="OpenSymbol" w:hint="default"/>
      </w:rPr>
    </w:lvl>
  </w:abstractNum>
  <w:abstractNum w:abstractNumId="15"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7"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5"/>
  </w:num>
  <w:num w:numId="2" w16cid:durableId="2052414985">
    <w:abstractNumId w:val="12"/>
  </w:num>
  <w:num w:numId="3" w16cid:durableId="580868926">
    <w:abstractNumId w:val="13"/>
  </w:num>
  <w:num w:numId="4" w16cid:durableId="1065252257">
    <w:abstractNumId w:val="16"/>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8"/>
  </w:num>
  <w:num w:numId="17" w16cid:durableId="788014851">
    <w:abstractNumId w:val="17"/>
  </w:num>
  <w:num w:numId="18" w16cid:durableId="1856770132">
    <w:abstractNumId w:val="11"/>
  </w:num>
  <w:num w:numId="19" w16cid:durableId="1811357838">
    <w:abstractNumId w:val="8"/>
  </w:num>
  <w:num w:numId="20" w16cid:durableId="1023633098">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E6D8D"/>
    <w:rsid w:val="000F5F3D"/>
    <w:rsid w:val="00123636"/>
    <w:rsid w:val="00141A83"/>
    <w:rsid w:val="001626C5"/>
    <w:rsid w:val="001652F6"/>
    <w:rsid w:val="00167D72"/>
    <w:rsid w:val="00182BEB"/>
    <w:rsid w:val="00182D5C"/>
    <w:rsid w:val="00206CBB"/>
    <w:rsid w:val="00211970"/>
    <w:rsid w:val="0023705D"/>
    <w:rsid w:val="00256BBB"/>
    <w:rsid w:val="00270260"/>
    <w:rsid w:val="00291F48"/>
    <w:rsid w:val="00295C60"/>
    <w:rsid w:val="002979C2"/>
    <w:rsid w:val="002B4E93"/>
    <w:rsid w:val="00300D4F"/>
    <w:rsid w:val="003156B3"/>
    <w:rsid w:val="00317D3F"/>
    <w:rsid w:val="00343BEB"/>
    <w:rsid w:val="0035289C"/>
    <w:rsid w:val="0036633E"/>
    <w:rsid w:val="00376249"/>
    <w:rsid w:val="00392DD4"/>
    <w:rsid w:val="003A53D5"/>
    <w:rsid w:val="003B0771"/>
    <w:rsid w:val="003B4EB1"/>
    <w:rsid w:val="004005AB"/>
    <w:rsid w:val="00406FC2"/>
    <w:rsid w:val="00472D17"/>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73583"/>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85373"/>
    <w:rsid w:val="00992CF7"/>
    <w:rsid w:val="009C4C38"/>
    <w:rsid w:val="009D3129"/>
    <w:rsid w:val="009E2C88"/>
    <w:rsid w:val="009E535C"/>
    <w:rsid w:val="00A27C65"/>
    <w:rsid w:val="00A32774"/>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A7912"/>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semiHidden/>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593560366">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2025-05-12T17:20:00Z</dcterms:created>
  <dcterms:modified xsi:type="dcterms:W3CDTF">2025-05-12T17:20:00Z</dcterms:modified>
</cp:coreProperties>
</file>